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DD4E3C" w:rsidP="008D3B00">
      <w:pPr>
        <w:spacing w:line="480" w:lineRule="auto"/>
        <w:jc w:val="center"/>
        <w:rPr>
          <w:rFonts w:ascii="Times New Roman" w:hAnsi="Times New Roman" w:cs="Times New Roman"/>
          <w:sz w:val="24"/>
          <w:szCs w:val="24"/>
        </w:rPr>
      </w:pPr>
    </w:p>
    <w:p w:rsidR="00DD4E3C" w:rsidP="008D3B00">
      <w:pPr>
        <w:spacing w:line="480" w:lineRule="auto"/>
        <w:jc w:val="center"/>
        <w:rPr>
          <w:rFonts w:ascii="Times New Roman" w:hAnsi="Times New Roman" w:cs="Times New Roman"/>
          <w:sz w:val="24"/>
          <w:szCs w:val="24"/>
        </w:rPr>
      </w:pPr>
    </w:p>
    <w:p w:rsidR="00DD4E3C" w:rsidP="008D3B00">
      <w:pPr>
        <w:spacing w:line="480" w:lineRule="auto"/>
        <w:jc w:val="center"/>
        <w:rPr>
          <w:rFonts w:ascii="Times New Roman" w:hAnsi="Times New Roman" w:cs="Times New Roman"/>
          <w:sz w:val="24"/>
          <w:szCs w:val="24"/>
        </w:rPr>
      </w:pPr>
    </w:p>
    <w:p w:rsidR="00DD4E3C" w:rsidP="008D3B00">
      <w:pPr>
        <w:spacing w:line="480" w:lineRule="auto"/>
        <w:jc w:val="center"/>
        <w:rPr>
          <w:rFonts w:ascii="Times New Roman" w:hAnsi="Times New Roman" w:cs="Times New Roman"/>
          <w:sz w:val="24"/>
          <w:szCs w:val="24"/>
        </w:rPr>
      </w:pPr>
    </w:p>
    <w:p w:rsidR="00DD4E3C" w:rsidP="008D3B00">
      <w:pPr>
        <w:spacing w:line="480" w:lineRule="auto"/>
        <w:jc w:val="center"/>
        <w:rPr>
          <w:rFonts w:ascii="Times New Roman" w:hAnsi="Times New Roman" w:cs="Times New Roman"/>
          <w:sz w:val="24"/>
          <w:szCs w:val="24"/>
        </w:rPr>
      </w:pPr>
    </w:p>
    <w:p w:rsidR="00DD4E3C" w:rsidP="008D3B00">
      <w:pPr>
        <w:spacing w:line="480" w:lineRule="auto"/>
        <w:jc w:val="center"/>
        <w:rPr>
          <w:rFonts w:ascii="Times New Roman" w:hAnsi="Times New Roman" w:cs="Times New Roman"/>
          <w:sz w:val="24"/>
          <w:szCs w:val="24"/>
        </w:rPr>
      </w:pPr>
    </w:p>
    <w:p w:rsidR="00DD4E3C" w:rsidP="008D3B00">
      <w:pPr>
        <w:spacing w:line="480" w:lineRule="auto"/>
        <w:jc w:val="center"/>
        <w:rPr>
          <w:rFonts w:ascii="Times New Roman" w:hAnsi="Times New Roman" w:cs="Times New Roman"/>
          <w:sz w:val="24"/>
          <w:szCs w:val="24"/>
        </w:rPr>
      </w:pPr>
    </w:p>
    <w:p w:rsidR="009F6016" w:rsidRPr="008D3B00" w:rsidP="008D3B00">
      <w:pPr>
        <w:spacing w:line="480" w:lineRule="auto"/>
        <w:jc w:val="center"/>
        <w:rPr>
          <w:rFonts w:ascii="Times New Roman" w:hAnsi="Times New Roman" w:cs="Times New Roman"/>
          <w:sz w:val="24"/>
          <w:szCs w:val="24"/>
        </w:rPr>
      </w:pPr>
      <w:r>
        <w:rPr>
          <w:rFonts w:ascii="Times New Roman" w:hAnsi="Times New Roman" w:cs="Times New Roman"/>
          <w:sz w:val="24"/>
          <w:szCs w:val="24"/>
        </w:rPr>
        <w:t>The Living Cell Lab</w:t>
      </w:r>
    </w:p>
    <w:p w:rsidR="008D3B00" w:rsidRPr="008D3B00" w:rsidP="008D3B00">
      <w:pPr>
        <w:spacing w:line="480" w:lineRule="auto"/>
        <w:jc w:val="center"/>
        <w:rPr>
          <w:rFonts w:ascii="Times New Roman" w:hAnsi="Times New Roman" w:cs="Times New Roman"/>
          <w:sz w:val="24"/>
          <w:szCs w:val="24"/>
        </w:rPr>
      </w:pPr>
      <w:r w:rsidRPr="008D3B00">
        <w:rPr>
          <w:rFonts w:ascii="Times New Roman" w:hAnsi="Times New Roman" w:cs="Times New Roman"/>
          <w:sz w:val="24"/>
          <w:szCs w:val="24"/>
        </w:rPr>
        <w:t>Student Name</w:t>
      </w:r>
    </w:p>
    <w:p w:rsidR="00717D61" w:rsidP="00717D61">
      <w:pPr>
        <w:spacing w:line="480" w:lineRule="auto"/>
        <w:jc w:val="center"/>
        <w:rPr>
          <w:rFonts w:ascii="Times New Roman" w:hAnsi="Times New Roman" w:cs="Times New Roman"/>
          <w:sz w:val="24"/>
          <w:szCs w:val="24"/>
        </w:rPr>
      </w:pPr>
      <w:r w:rsidRPr="008D3B00">
        <w:rPr>
          <w:rFonts w:ascii="Times New Roman" w:hAnsi="Times New Roman" w:cs="Times New Roman"/>
          <w:sz w:val="24"/>
          <w:szCs w:val="24"/>
        </w:rPr>
        <w:t>Institutional Affiliation</w:t>
      </w:r>
    </w:p>
    <w:p w:rsidR="00717D61" w:rsidP="00717D61">
      <w:pPr>
        <w:spacing w:line="480" w:lineRule="auto"/>
        <w:jc w:val="center"/>
        <w:rPr>
          <w:rFonts w:ascii="Times New Roman" w:hAnsi="Times New Roman" w:cs="Times New Roman"/>
          <w:sz w:val="24"/>
          <w:szCs w:val="24"/>
        </w:rPr>
      </w:pPr>
    </w:p>
    <w:p w:rsidR="00717D61" w:rsidP="00717D61">
      <w:pPr>
        <w:spacing w:line="480" w:lineRule="auto"/>
        <w:jc w:val="center"/>
        <w:rPr>
          <w:rFonts w:ascii="Times New Roman" w:hAnsi="Times New Roman" w:cs="Times New Roman"/>
          <w:sz w:val="24"/>
          <w:szCs w:val="24"/>
        </w:rPr>
      </w:pPr>
    </w:p>
    <w:p w:rsidR="00717D61" w:rsidP="00717D61">
      <w:pPr>
        <w:spacing w:line="480" w:lineRule="auto"/>
        <w:jc w:val="center"/>
        <w:rPr>
          <w:rFonts w:ascii="Times New Roman" w:hAnsi="Times New Roman" w:cs="Times New Roman"/>
          <w:sz w:val="24"/>
          <w:szCs w:val="24"/>
        </w:rPr>
      </w:pPr>
    </w:p>
    <w:p w:rsidR="00717D61" w:rsidP="00717D61">
      <w:pPr>
        <w:spacing w:line="480" w:lineRule="auto"/>
        <w:jc w:val="center"/>
        <w:rPr>
          <w:rFonts w:ascii="Times New Roman" w:hAnsi="Times New Roman" w:cs="Times New Roman"/>
          <w:sz w:val="24"/>
          <w:szCs w:val="24"/>
        </w:rPr>
      </w:pPr>
    </w:p>
    <w:p w:rsidR="00717D61" w:rsidP="00717D61">
      <w:pPr>
        <w:spacing w:line="480" w:lineRule="auto"/>
        <w:jc w:val="center"/>
        <w:rPr>
          <w:rFonts w:ascii="Times New Roman" w:hAnsi="Times New Roman" w:cs="Times New Roman"/>
          <w:sz w:val="24"/>
          <w:szCs w:val="24"/>
        </w:rPr>
      </w:pPr>
    </w:p>
    <w:p w:rsidR="00717D61" w:rsidP="00717D61">
      <w:pPr>
        <w:spacing w:line="480" w:lineRule="auto"/>
        <w:jc w:val="center"/>
        <w:rPr>
          <w:rFonts w:ascii="Times New Roman" w:hAnsi="Times New Roman" w:cs="Times New Roman"/>
          <w:sz w:val="24"/>
          <w:szCs w:val="24"/>
        </w:rPr>
      </w:pPr>
    </w:p>
    <w:p w:rsidR="00717D61" w:rsidP="00717D61">
      <w:pPr>
        <w:spacing w:line="480" w:lineRule="auto"/>
        <w:jc w:val="center"/>
        <w:rPr>
          <w:rFonts w:ascii="Times New Roman" w:hAnsi="Times New Roman" w:cs="Times New Roman"/>
          <w:sz w:val="24"/>
          <w:szCs w:val="24"/>
        </w:rPr>
      </w:pPr>
    </w:p>
    <w:p w:rsidR="00717D61" w:rsidP="00717D61">
      <w:pPr>
        <w:spacing w:line="480" w:lineRule="auto"/>
        <w:jc w:val="center"/>
        <w:rPr>
          <w:rFonts w:ascii="Times New Roman" w:hAnsi="Times New Roman" w:cs="Times New Roman"/>
          <w:sz w:val="24"/>
          <w:szCs w:val="24"/>
        </w:rPr>
      </w:pPr>
    </w:p>
    <w:p w:rsidR="008D3B00" w:rsidP="00717D6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reason for experimenting was to</w:t>
      </w:r>
      <w:r w:rsidR="00717D61">
        <w:rPr>
          <w:rFonts w:ascii="Times New Roman" w:hAnsi="Times New Roman" w:cs="Times New Roman"/>
          <w:sz w:val="24"/>
          <w:szCs w:val="24"/>
        </w:rPr>
        <w:t xml:space="preserve"> determine the</w:t>
      </w:r>
      <w:r w:rsidR="002A2512">
        <w:rPr>
          <w:rFonts w:ascii="Times New Roman" w:hAnsi="Times New Roman" w:cs="Times New Roman"/>
          <w:sz w:val="24"/>
          <w:szCs w:val="24"/>
        </w:rPr>
        <w:t xml:space="preserve"> impact of ALP on the production of biofilm. To achieve this, I added sodium orthovanadate, ALP to S, and assessed both aweus cultures and biofilm formation using </w:t>
      </w:r>
      <w:r w:rsidR="006D3A73">
        <w:rPr>
          <w:rFonts w:ascii="Times New Roman" w:hAnsi="Times New Roman" w:cs="Times New Roman"/>
          <w:sz w:val="24"/>
          <w:szCs w:val="24"/>
        </w:rPr>
        <w:t>the tube method and also the TCP method.</w:t>
      </w:r>
      <w:r w:rsidR="00717D61">
        <w:rPr>
          <w:rFonts w:ascii="Times New Roman" w:hAnsi="Times New Roman" w:cs="Times New Roman"/>
          <w:sz w:val="24"/>
          <w:szCs w:val="24"/>
        </w:rPr>
        <w:t xml:space="preserve"> </w:t>
      </w:r>
      <w:r w:rsidR="006D3A73">
        <w:rPr>
          <w:rFonts w:ascii="Times New Roman" w:hAnsi="Times New Roman" w:cs="Times New Roman"/>
          <w:sz w:val="24"/>
          <w:szCs w:val="24"/>
        </w:rPr>
        <w:t>The inhibition of ALP with sodium orthovanadate hindered bio</w:t>
      </w:r>
      <w:r w:rsidR="00717D61">
        <w:rPr>
          <w:rFonts w:ascii="Times New Roman" w:hAnsi="Times New Roman" w:cs="Times New Roman"/>
          <w:sz w:val="24"/>
          <w:szCs w:val="24"/>
        </w:rPr>
        <w:t>f</w:t>
      </w:r>
      <w:r w:rsidR="006D3A73">
        <w:rPr>
          <w:rFonts w:ascii="Times New Roman" w:hAnsi="Times New Roman" w:cs="Times New Roman"/>
          <w:sz w:val="24"/>
          <w:szCs w:val="24"/>
        </w:rPr>
        <w:t>ilm production, as demonstrated by the tube method. 
</w:t>
      </w:r>
    </w:p>
    <w:tbl>
      <w:tblPr>
        <w:tblW w:w="5392" w:type="dxa"/>
        <w:tblLook w:val="04A0"/>
      </w:tblPr>
      <w:tblGrid>
        <w:gridCol w:w="1900"/>
        <w:gridCol w:w="1912"/>
        <w:gridCol w:w="1580"/>
      </w:tblGrid>
      <w:tr w:rsidTr="008C4FA2">
        <w:tblPrEx>
          <w:tblW w:w="5392" w:type="dxa"/>
          <w:tblLook w:val="04A0"/>
        </w:tblPrEx>
        <w:trPr>
          <w:trHeight w:val="300"/>
        </w:trPr>
        <w:tc>
          <w:tcPr>
            <w:tcW w:w="1900" w:type="dxa"/>
            <w:tcBorders>
              <w:top w:val="nil"/>
              <w:left w:val="nil"/>
              <w:bottom w:val="nil"/>
              <w:right w:val="nil"/>
            </w:tcBorders>
            <w:shd w:val="clear" w:color="000000" w:fill="E7E6E6"/>
            <w:noWrap/>
            <w:vAlign w:val="bottom"/>
            <w:hideMark/>
          </w:tcPr>
          <w:p w:rsidR="008C4FA2" w:rsidRPr="008C4FA2" w:rsidP="008C4FA2">
            <w:pPr>
              <w:spacing w:after="0" w:line="240" w:lineRule="auto"/>
              <w:rPr>
                <w:rFonts w:ascii="Calibri" w:eastAsia="Times New Roman" w:hAnsi="Calibri" w:cs="Calibri"/>
                <w:color w:val="000000"/>
              </w:rPr>
            </w:pPr>
            <w:r w:rsidRPr="008C4FA2">
              <w:rPr>
                <w:rFonts w:ascii="Calibri" w:eastAsia="Times New Roman" w:hAnsi="Calibri" w:cs="Calibri"/>
                <w:color w:val="000000"/>
              </w:rPr>
              <w:t xml:space="preserve">Concentration (mM) </w:t>
            </w:r>
          </w:p>
        </w:tc>
        <w:tc>
          <w:tcPr>
            <w:tcW w:w="1912" w:type="dxa"/>
            <w:tcBorders>
              <w:top w:val="nil"/>
              <w:left w:val="nil"/>
              <w:bottom w:val="nil"/>
              <w:right w:val="nil"/>
            </w:tcBorders>
            <w:shd w:val="clear" w:color="000000" w:fill="FCE4D6"/>
            <w:noWrap/>
            <w:vAlign w:val="bottom"/>
            <w:hideMark/>
          </w:tcPr>
          <w:p w:rsidR="008C4FA2" w:rsidRPr="008C4FA2" w:rsidP="008C4FA2">
            <w:pPr>
              <w:spacing w:after="0" w:line="240" w:lineRule="auto"/>
              <w:rPr>
                <w:rFonts w:ascii="Calibri" w:eastAsia="Times New Roman" w:hAnsi="Calibri" w:cs="Calibri"/>
                <w:color w:val="000000"/>
              </w:rPr>
            </w:pPr>
            <w:r w:rsidRPr="008C4FA2">
              <w:rPr>
                <w:rFonts w:ascii="Calibri" w:eastAsia="Times New Roman" w:hAnsi="Calibri" w:cs="Calibri"/>
                <w:color w:val="000000"/>
              </w:rPr>
              <w:t>Rate (uM/s)</w:t>
            </w:r>
          </w:p>
        </w:tc>
        <w:tc>
          <w:tcPr>
            <w:tcW w:w="1580" w:type="dxa"/>
            <w:tcBorders>
              <w:top w:val="nil"/>
              <w:left w:val="nil"/>
              <w:bottom w:val="nil"/>
              <w:right w:val="nil"/>
            </w:tcBorders>
            <w:shd w:val="clear" w:color="000000" w:fill="DDEBF7"/>
            <w:noWrap/>
            <w:vAlign w:val="bottom"/>
            <w:hideMark/>
          </w:tcPr>
          <w:p w:rsidR="008C4FA2" w:rsidRPr="008C4FA2" w:rsidP="008C4FA2">
            <w:pPr>
              <w:spacing w:after="0" w:line="240" w:lineRule="auto"/>
              <w:rPr>
                <w:rFonts w:ascii="Calibri" w:eastAsia="Times New Roman" w:hAnsi="Calibri" w:cs="Calibri"/>
                <w:color w:val="000000"/>
              </w:rPr>
            </w:pPr>
            <w:r w:rsidRPr="008C4FA2">
              <w:rPr>
                <w:rFonts w:ascii="Calibri" w:eastAsia="Times New Roman" w:hAnsi="Calibri" w:cs="Calibri"/>
                <w:color w:val="000000"/>
              </w:rPr>
              <w:t>Rate (uM/s)</w:t>
            </w:r>
          </w:p>
        </w:tc>
      </w:tr>
      <w:tr w:rsidTr="008C4FA2">
        <w:tblPrEx>
          <w:tblW w:w="5392" w:type="dxa"/>
          <w:tblLook w:val="04A0"/>
        </w:tblPrEx>
        <w:trPr>
          <w:trHeight w:val="300"/>
        </w:trPr>
        <w:tc>
          <w:tcPr>
            <w:tcW w:w="1900" w:type="dxa"/>
            <w:tcBorders>
              <w:top w:val="nil"/>
              <w:left w:val="nil"/>
              <w:bottom w:val="nil"/>
              <w:right w:val="nil"/>
            </w:tcBorders>
            <w:shd w:val="clear" w:color="auto" w:fill="auto"/>
            <w:noWrap/>
            <w:vAlign w:val="bottom"/>
            <w:hideMark/>
          </w:tcPr>
          <w:p w:rsidR="008C4FA2" w:rsidRPr="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0.48</w:t>
            </w:r>
          </w:p>
        </w:tc>
        <w:tc>
          <w:tcPr>
            <w:tcW w:w="1912" w:type="dxa"/>
            <w:tcBorders>
              <w:top w:val="nil"/>
              <w:left w:val="nil"/>
              <w:bottom w:val="nil"/>
              <w:right w:val="nil"/>
            </w:tcBorders>
            <w:shd w:val="clear" w:color="auto" w:fill="auto"/>
            <w:noWrap/>
            <w:vAlign w:val="bottom"/>
            <w:hideMark/>
          </w:tcPr>
          <w:p w:rsidR="008C4FA2" w:rsidRPr="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0.339</w:t>
            </w:r>
          </w:p>
        </w:tc>
        <w:tc>
          <w:tcPr>
            <w:tcW w:w="1580" w:type="dxa"/>
            <w:tcBorders>
              <w:top w:val="nil"/>
              <w:left w:val="nil"/>
              <w:bottom w:val="nil"/>
              <w:right w:val="nil"/>
            </w:tcBorders>
            <w:shd w:val="clear" w:color="auto" w:fill="auto"/>
            <w:noWrap/>
            <w:vAlign w:val="bottom"/>
            <w:hideMark/>
          </w:tcPr>
          <w:p w:rsidR="008C4FA2" w:rsidRPr="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0.08093</w:t>
            </w:r>
          </w:p>
        </w:tc>
      </w:tr>
      <w:tr w:rsidTr="008C4FA2">
        <w:tblPrEx>
          <w:tblW w:w="5392" w:type="dxa"/>
          <w:tblLook w:val="04A0"/>
        </w:tblPrEx>
        <w:trPr>
          <w:trHeight w:val="300"/>
        </w:trPr>
        <w:tc>
          <w:tcPr>
            <w:tcW w:w="1900" w:type="dxa"/>
            <w:tcBorders>
              <w:top w:val="nil"/>
              <w:left w:val="nil"/>
              <w:bottom w:val="nil"/>
              <w:right w:val="nil"/>
            </w:tcBorders>
            <w:shd w:val="clear" w:color="auto" w:fill="auto"/>
            <w:noWrap/>
            <w:vAlign w:val="bottom"/>
            <w:hideMark/>
          </w:tcPr>
          <w:p w:rsidR="008C4FA2" w:rsidRPr="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0.24</w:t>
            </w:r>
          </w:p>
        </w:tc>
        <w:tc>
          <w:tcPr>
            <w:tcW w:w="1912" w:type="dxa"/>
            <w:tcBorders>
              <w:top w:val="nil"/>
              <w:left w:val="nil"/>
              <w:bottom w:val="nil"/>
              <w:right w:val="nil"/>
            </w:tcBorders>
            <w:shd w:val="clear" w:color="auto" w:fill="auto"/>
            <w:noWrap/>
            <w:vAlign w:val="bottom"/>
            <w:hideMark/>
          </w:tcPr>
          <w:p w:rsidR="008C4FA2" w:rsidRPr="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0.746</w:t>
            </w:r>
          </w:p>
        </w:tc>
        <w:tc>
          <w:tcPr>
            <w:tcW w:w="1580" w:type="dxa"/>
            <w:tcBorders>
              <w:top w:val="nil"/>
              <w:left w:val="nil"/>
              <w:bottom w:val="nil"/>
              <w:right w:val="nil"/>
            </w:tcBorders>
            <w:shd w:val="clear" w:color="auto" w:fill="auto"/>
            <w:noWrap/>
            <w:vAlign w:val="bottom"/>
            <w:hideMark/>
          </w:tcPr>
          <w:p w:rsidR="008C4FA2" w:rsidRPr="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0.1486</w:t>
            </w:r>
          </w:p>
        </w:tc>
      </w:tr>
      <w:tr w:rsidTr="008C4FA2">
        <w:tblPrEx>
          <w:tblW w:w="5392" w:type="dxa"/>
          <w:tblLook w:val="04A0"/>
        </w:tblPrEx>
        <w:trPr>
          <w:trHeight w:val="300"/>
        </w:trPr>
        <w:tc>
          <w:tcPr>
            <w:tcW w:w="1900" w:type="dxa"/>
            <w:tcBorders>
              <w:top w:val="nil"/>
              <w:left w:val="nil"/>
              <w:bottom w:val="nil"/>
              <w:right w:val="nil"/>
            </w:tcBorders>
            <w:shd w:val="clear" w:color="auto" w:fill="auto"/>
            <w:noWrap/>
            <w:vAlign w:val="bottom"/>
            <w:hideMark/>
          </w:tcPr>
          <w:p w:rsidR="008C4FA2" w:rsidRPr="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0.16</w:t>
            </w:r>
          </w:p>
        </w:tc>
        <w:tc>
          <w:tcPr>
            <w:tcW w:w="1912" w:type="dxa"/>
            <w:tcBorders>
              <w:top w:val="nil"/>
              <w:left w:val="nil"/>
              <w:bottom w:val="nil"/>
              <w:right w:val="nil"/>
            </w:tcBorders>
            <w:shd w:val="clear" w:color="auto" w:fill="auto"/>
            <w:noWrap/>
            <w:vAlign w:val="bottom"/>
            <w:hideMark/>
          </w:tcPr>
          <w:p w:rsidR="008C4FA2" w:rsidRPr="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0.2472</w:t>
            </w:r>
          </w:p>
        </w:tc>
        <w:tc>
          <w:tcPr>
            <w:tcW w:w="1580" w:type="dxa"/>
            <w:tcBorders>
              <w:top w:val="nil"/>
              <w:left w:val="nil"/>
              <w:bottom w:val="nil"/>
              <w:right w:val="nil"/>
            </w:tcBorders>
            <w:shd w:val="clear" w:color="auto" w:fill="auto"/>
            <w:noWrap/>
            <w:vAlign w:val="bottom"/>
            <w:hideMark/>
          </w:tcPr>
          <w:p w:rsidR="008C4FA2" w:rsidRPr="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0.09</w:t>
            </w:r>
          </w:p>
        </w:tc>
      </w:tr>
      <w:tr w:rsidTr="008C4FA2">
        <w:tblPrEx>
          <w:tblW w:w="5392" w:type="dxa"/>
          <w:tblLook w:val="04A0"/>
        </w:tblPrEx>
        <w:trPr>
          <w:trHeight w:val="300"/>
        </w:trPr>
        <w:tc>
          <w:tcPr>
            <w:tcW w:w="1900" w:type="dxa"/>
            <w:tcBorders>
              <w:top w:val="nil"/>
              <w:left w:val="nil"/>
              <w:bottom w:val="nil"/>
              <w:right w:val="nil"/>
            </w:tcBorders>
            <w:shd w:val="clear" w:color="auto" w:fill="auto"/>
            <w:noWrap/>
            <w:vAlign w:val="bottom"/>
            <w:hideMark/>
          </w:tcPr>
          <w:p w:rsidR="008C4FA2" w:rsidRPr="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0.096</w:t>
            </w:r>
          </w:p>
        </w:tc>
        <w:tc>
          <w:tcPr>
            <w:tcW w:w="1912" w:type="dxa"/>
            <w:tcBorders>
              <w:top w:val="nil"/>
              <w:left w:val="nil"/>
              <w:bottom w:val="nil"/>
              <w:right w:val="nil"/>
            </w:tcBorders>
            <w:shd w:val="clear" w:color="auto" w:fill="auto"/>
            <w:noWrap/>
            <w:vAlign w:val="bottom"/>
            <w:hideMark/>
          </w:tcPr>
          <w:p w:rsidR="008C4FA2" w:rsidRPr="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0.205</w:t>
            </w:r>
          </w:p>
        </w:tc>
        <w:tc>
          <w:tcPr>
            <w:tcW w:w="1580" w:type="dxa"/>
            <w:tcBorders>
              <w:top w:val="nil"/>
              <w:left w:val="nil"/>
              <w:bottom w:val="nil"/>
              <w:right w:val="nil"/>
            </w:tcBorders>
            <w:shd w:val="clear" w:color="auto" w:fill="auto"/>
            <w:noWrap/>
            <w:vAlign w:val="bottom"/>
            <w:hideMark/>
          </w:tcPr>
          <w:p w:rsidR="008C4FA2" w:rsidRPr="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0.0761</w:t>
            </w:r>
          </w:p>
        </w:tc>
      </w:tr>
      <w:tr w:rsidTr="008C4FA2">
        <w:tblPrEx>
          <w:tblW w:w="5392" w:type="dxa"/>
          <w:tblLook w:val="04A0"/>
        </w:tblPrEx>
        <w:trPr>
          <w:trHeight w:val="300"/>
        </w:trPr>
        <w:tc>
          <w:tcPr>
            <w:tcW w:w="1900" w:type="dxa"/>
            <w:tcBorders>
              <w:top w:val="nil"/>
              <w:left w:val="nil"/>
              <w:bottom w:val="nil"/>
              <w:right w:val="nil"/>
            </w:tcBorders>
            <w:shd w:val="clear" w:color="auto" w:fill="auto"/>
            <w:noWrap/>
            <w:vAlign w:val="bottom"/>
            <w:hideMark/>
          </w:tcPr>
          <w:p w:rsidR="008C4FA2" w:rsidRPr="008C4FA2" w:rsidP="008C4FA2">
            <w:pPr>
              <w:spacing w:after="0" w:line="240" w:lineRule="auto"/>
              <w:jc w:val="right"/>
              <w:rPr>
                <w:rFonts w:ascii="Calibri" w:eastAsia="Times New Roman" w:hAnsi="Calibri" w:cs="Calibri"/>
                <w:color w:val="000000"/>
              </w:rPr>
            </w:pPr>
          </w:p>
        </w:tc>
        <w:tc>
          <w:tcPr>
            <w:tcW w:w="1912" w:type="dxa"/>
            <w:tcBorders>
              <w:top w:val="nil"/>
              <w:left w:val="nil"/>
              <w:bottom w:val="nil"/>
              <w:right w:val="nil"/>
            </w:tcBorders>
            <w:shd w:val="clear" w:color="auto" w:fill="auto"/>
            <w:noWrap/>
            <w:vAlign w:val="bottom"/>
            <w:hideMark/>
          </w:tcPr>
          <w:p w:rsidR="008C4FA2" w:rsidRPr="008C4FA2" w:rsidP="008C4FA2">
            <w:pPr>
              <w:spacing w:after="0" w:line="240" w:lineRule="auto"/>
              <w:rPr>
                <w:rFonts w:ascii="Times New Roman" w:eastAsia="Times New Roman" w:hAnsi="Times New Roman" w:cs="Times New Roman"/>
                <w:sz w:val="20"/>
                <w:szCs w:val="20"/>
              </w:rPr>
            </w:pPr>
          </w:p>
        </w:tc>
        <w:tc>
          <w:tcPr>
            <w:tcW w:w="1580" w:type="dxa"/>
            <w:tcBorders>
              <w:top w:val="nil"/>
              <w:left w:val="nil"/>
              <w:bottom w:val="nil"/>
              <w:right w:val="nil"/>
            </w:tcBorders>
            <w:shd w:val="clear" w:color="auto" w:fill="auto"/>
            <w:noWrap/>
            <w:vAlign w:val="bottom"/>
            <w:hideMark/>
          </w:tcPr>
          <w:p w:rsidR="008C4FA2" w:rsidRPr="008C4FA2" w:rsidP="008C4FA2">
            <w:pPr>
              <w:spacing w:after="0" w:line="240" w:lineRule="auto"/>
              <w:rPr>
                <w:rFonts w:ascii="Times New Roman" w:eastAsia="Times New Roman" w:hAnsi="Times New Roman" w:cs="Times New Roman"/>
                <w:sz w:val="20"/>
                <w:szCs w:val="20"/>
              </w:rPr>
            </w:pPr>
          </w:p>
        </w:tc>
      </w:tr>
      <w:tr w:rsidTr="008C4FA2">
        <w:tblPrEx>
          <w:tblW w:w="5392" w:type="dxa"/>
          <w:tblLook w:val="04A0"/>
        </w:tblPrEx>
        <w:trPr>
          <w:trHeight w:val="300"/>
        </w:trPr>
        <w:tc>
          <w:tcPr>
            <w:tcW w:w="1900" w:type="dxa"/>
            <w:tcBorders>
              <w:top w:val="nil"/>
              <w:left w:val="nil"/>
              <w:bottom w:val="nil"/>
              <w:right w:val="nil"/>
            </w:tcBorders>
            <w:shd w:val="clear" w:color="auto" w:fill="auto"/>
            <w:noWrap/>
            <w:vAlign w:val="bottom"/>
            <w:hideMark/>
          </w:tcPr>
          <w:p w:rsidR="008C4FA2" w:rsidRPr="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0.048</w:t>
            </w:r>
          </w:p>
        </w:tc>
        <w:tc>
          <w:tcPr>
            <w:tcW w:w="1912" w:type="dxa"/>
            <w:tcBorders>
              <w:top w:val="nil"/>
              <w:left w:val="nil"/>
              <w:bottom w:val="nil"/>
              <w:right w:val="nil"/>
            </w:tcBorders>
            <w:shd w:val="clear" w:color="auto" w:fill="auto"/>
            <w:noWrap/>
            <w:vAlign w:val="bottom"/>
            <w:hideMark/>
          </w:tcPr>
          <w:p w:rsidR="008C4FA2" w:rsidRPr="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0.1322</w:t>
            </w:r>
          </w:p>
        </w:tc>
        <w:tc>
          <w:tcPr>
            <w:tcW w:w="1580" w:type="dxa"/>
            <w:tcBorders>
              <w:top w:val="nil"/>
              <w:left w:val="nil"/>
              <w:bottom w:val="nil"/>
              <w:right w:val="nil"/>
            </w:tcBorders>
            <w:shd w:val="clear" w:color="auto" w:fill="auto"/>
            <w:noWrap/>
            <w:vAlign w:val="bottom"/>
            <w:hideMark/>
          </w:tcPr>
          <w:p w:rsidR="008C4FA2" w:rsidRPr="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0.0667</w:t>
            </w:r>
          </w:p>
        </w:tc>
      </w:tr>
      <w:tr w:rsidTr="008C4FA2">
        <w:tblPrEx>
          <w:tblW w:w="5392" w:type="dxa"/>
          <w:tblLook w:val="04A0"/>
        </w:tblPrEx>
        <w:trPr>
          <w:trHeight w:val="300"/>
        </w:trPr>
        <w:tc>
          <w:tcPr>
            <w:tcW w:w="1900" w:type="dxa"/>
            <w:tcBorders>
              <w:top w:val="nil"/>
              <w:left w:val="nil"/>
              <w:bottom w:val="nil"/>
              <w:right w:val="nil"/>
            </w:tcBorders>
            <w:shd w:val="clear" w:color="auto" w:fill="auto"/>
            <w:noWrap/>
            <w:vAlign w:val="bottom"/>
            <w:hideMark/>
          </w:tcPr>
          <w:p w:rsidR="008C4FA2" w:rsidRPr="008C4FA2" w:rsidP="008C4FA2">
            <w:pPr>
              <w:spacing w:after="0" w:line="240" w:lineRule="auto"/>
              <w:jc w:val="right"/>
              <w:rPr>
                <w:rFonts w:ascii="Calibri" w:eastAsia="Times New Roman" w:hAnsi="Calibri" w:cs="Calibri"/>
                <w:color w:val="000000"/>
              </w:rPr>
            </w:pPr>
          </w:p>
        </w:tc>
        <w:tc>
          <w:tcPr>
            <w:tcW w:w="1912" w:type="dxa"/>
            <w:tcBorders>
              <w:top w:val="nil"/>
              <w:left w:val="nil"/>
              <w:bottom w:val="nil"/>
              <w:right w:val="nil"/>
            </w:tcBorders>
            <w:shd w:val="clear" w:color="auto" w:fill="auto"/>
            <w:noWrap/>
            <w:vAlign w:val="bottom"/>
            <w:hideMark/>
          </w:tcPr>
          <w:p w:rsidR="008C4FA2" w:rsidRPr="008C4FA2" w:rsidP="008C4FA2">
            <w:pPr>
              <w:spacing w:after="0" w:line="240" w:lineRule="auto"/>
              <w:rPr>
                <w:rFonts w:ascii="Calibri" w:eastAsia="Times New Roman" w:hAnsi="Calibri" w:cs="Calibri"/>
                <w:color w:val="000000"/>
              </w:rPr>
            </w:pPr>
            <w:r w:rsidRPr="008C4FA2">
              <w:rPr>
                <w:rFonts w:ascii="Calibri" w:eastAsia="Times New Roman" w:hAnsi="Calibri" w:cs="Calibri"/>
                <w:color w:val="000000"/>
              </w:rPr>
              <w:t>orange = no inhibitor</w:t>
            </w:r>
          </w:p>
        </w:tc>
        <w:tc>
          <w:tcPr>
            <w:tcW w:w="1580" w:type="dxa"/>
            <w:tcBorders>
              <w:top w:val="nil"/>
              <w:left w:val="nil"/>
              <w:bottom w:val="nil"/>
              <w:right w:val="nil"/>
            </w:tcBorders>
            <w:shd w:val="clear" w:color="auto" w:fill="auto"/>
            <w:noWrap/>
            <w:vAlign w:val="bottom"/>
            <w:hideMark/>
          </w:tcPr>
          <w:p w:rsidR="008C4FA2" w:rsidRPr="008C4FA2" w:rsidP="008C4FA2">
            <w:pPr>
              <w:spacing w:after="0" w:line="240" w:lineRule="auto"/>
              <w:rPr>
                <w:rFonts w:ascii="Calibri" w:eastAsia="Times New Roman" w:hAnsi="Calibri" w:cs="Calibri"/>
                <w:color w:val="000000"/>
              </w:rPr>
            </w:pPr>
            <w:r w:rsidRPr="008C4FA2">
              <w:rPr>
                <w:rFonts w:ascii="Calibri" w:eastAsia="Times New Roman" w:hAnsi="Calibri" w:cs="Calibri"/>
                <w:color w:val="000000"/>
              </w:rPr>
              <w:t xml:space="preserve">blue = inhibitor </w:t>
            </w:r>
          </w:p>
        </w:tc>
      </w:tr>
    </w:tbl>
    <w:p w:rsidR="008C4FA2" w:rsidP="008C4FA2">
      <w:pPr>
        <w:spacing w:line="480" w:lineRule="auto"/>
        <w:rPr>
          <w:rFonts w:ascii="Times New Roman" w:hAnsi="Times New Roman" w:cs="Times New Roman"/>
          <w:sz w:val="24"/>
          <w:szCs w:val="24"/>
        </w:rPr>
      </w:pPr>
    </w:p>
    <w:p w:rsidR="008C4FA2" w:rsidP="00717D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calculation of the rate of reaction on the table above, I measured the increase in absorption </w:t>
      </w:r>
      <w:r w:rsidR="005250D7">
        <w:rPr>
          <w:rFonts w:ascii="Times New Roman" w:hAnsi="Times New Roman" w:cs="Times New Roman"/>
          <w:sz w:val="24"/>
          <w:szCs w:val="24"/>
        </w:rPr>
        <w:t xml:space="preserve">of the blue and orange inhibitors </w:t>
      </w:r>
      <w:r>
        <w:rPr>
          <w:rFonts w:ascii="Times New Roman" w:hAnsi="Times New Roman" w:cs="Times New Roman"/>
          <w:sz w:val="24"/>
          <w:szCs w:val="24"/>
        </w:rPr>
        <w:t xml:space="preserve">over time using a spectrophotometer. </w:t>
      </w:r>
      <w:r w:rsidR="00844DE3">
        <w:rPr>
          <w:rFonts w:ascii="Times New Roman" w:hAnsi="Times New Roman" w:cs="Times New Roman"/>
          <w:sz w:val="24"/>
          <w:szCs w:val="24"/>
        </w:rPr>
        <w:t>Both the concentration and the rate of reaction of the inhibitor as shown</w:t>
      </w:r>
      <w:r w:rsidR="005250D7">
        <w:rPr>
          <w:rFonts w:ascii="Times New Roman" w:hAnsi="Times New Roman" w:cs="Times New Roman"/>
          <w:sz w:val="24"/>
          <w:szCs w:val="24"/>
        </w:rPr>
        <w:t xml:space="preserve"> </w:t>
      </w:r>
      <w:r w:rsidR="00844DE3">
        <w:rPr>
          <w:rFonts w:ascii="Times New Roman" w:hAnsi="Times New Roman" w:cs="Times New Roman"/>
          <w:sz w:val="24"/>
          <w:szCs w:val="24"/>
        </w:rPr>
        <w:t>on the table above is uneven; that is, there is no trend either on the increase or decrease. 
</w:t>
      </w:r>
    </w:p>
    <w:p w:rsidR="00844DE3" w:rsidP="008C4FA2">
      <w:pPr>
        <w:spacing w:line="480" w:lineRule="auto"/>
        <w:rPr>
          <w:rFonts w:ascii="Times New Roman" w:hAnsi="Times New Roman" w:cs="Times New Roman"/>
          <w:sz w:val="24"/>
          <w:szCs w:val="24"/>
        </w:rPr>
      </w:pPr>
      <w:r>
        <w:rPr>
          <w:rFonts w:ascii="Times New Roman" w:hAnsi="Times New Roman" w:cs="Times New Roman"/>
          <w:sz w:val="24"/>
          <w:szCs w:val="24"/>
        </w:rPr>
        <w:t>The graph below shows plotted figures for the rate of reaction of the inhibitor against concentration.
</w:t>
      </w:r>
    </w:p>
    <w:p w:rsidR="00844DE3" w:rsidP="008C4FA2">
      <w:pPr>
        <w:spacing w:line="480" w:lineRule="auto"/>
        <w:rPr>
          <w:rFonts w:ascii="Times New Roman" w:hAnsi="Times New Roman" w:cs="Times New Roman"/>
          <w:sz w:val="24"/>
          <w:szCs w:val="24"/>
        </w:rPr>
      </w:pPr>
      <w:r w:rsidRPr="00E42208">
        <w:rPr>
          <w:rFonts w:ascii="Times New Roman" w:hAnsi="Times New Roman" w:cs="Times New Roman"/>
          <w:sz w:val="24"/>
          <w:szCs w:val="24"/>
        </w:rPr>
        <w:drawing>
          <wp:inline distT="0" distB="0" distL="0" distR="0">
            <wp:extent cx="4432176" cy="2865368"/>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744598" name=""/>
                    <pic:cNvPicPr/>
                  </pic:nvPicPr>
                  <pic:blipFill>
                    <a:blip xmlns:r="http://schemas.openxmlformats.org/officeDocument/2006/relationships" r:embed="rId4"/>
                    <a:stretch>
                      <a:fillRect/>
                    </a:stretch>
                  </pic:blipFill>
                  <pic:spPr>
                    <a:xfrm>
                      <a:off x="0" y="0"/>
                      <a:ext cx="4432176" cy="2865368"/>
                    </a:xfrm>
                    <a:prstGeom prst="rect">
                      <a:avLst/>
                    </a:prstGeom>
                  </pic:spPr>
                </pic:pic>
              </a:graphicData>
            </a:graphic>
          </wp:inline>
        </w:drawing>
      </w:r>
    </w:p>
    <w:p w:rsidR="00E42208" w:rsidP="00717D6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grap</w:t>
      </w:r>
      <w:r w:rsidR="00706334">
        <w:rPr>
          <w:rFonts w:ascii="Times New Roman" w:hAnsi="Times New Roman" w:cs="Times New Roman"/>
          <w:sz w:val="24"/>
          <w:szCs w:val="24"/>
        </w:rPr>
        <w:t>h above, the rate of reaction on the values increases with increase in concentration until when the level reached 0.25Mm then reduced when the level reached o.48Mm.</w:t>
      </w:r>
      <w:r w:rsidR="004F0474">
        <w:rPr>
          <w:rFonts w:ascii="Times New Roman" w:hAnsi="Times New Roman" w:cs="Times New Roman"/>
          <w:sz w:val="24"/>
          <w:szCs w:val="24"/>
        </w:rPr>
        <w:t xml:space="preserve"> From the graph above, I conclude that </w:t>
      </w:r>
      <w:r w:rsidR="00CF6912">
        <w:rPr>
          <w:rFonts w:ascii="Times New Roman" w:hAnsi="Times New Roman" w:cs="Times New Roman"/>
          <w:sz w:val="24"/>
          <w:szCs w:val="24"/>
        </w:rPr>
        <w:t>the DNase disrupted the formation of biofilm.</w:t>
      </w:r>
    </w:p>
    <w:p w:rsidR="000C46E0" w:rsidP="008C4FA2">
      <w:pPr>
        <w:spacing w:line="480" w:lineRule="auto"/>
        <w:rPr>
          <w:rFonts w:ascii="Times New Roman" w:hAnsi="Times New Roman" w:cs="Times New Roman"/>
          <w:sz w:val="24"/>
          <w:szCs w:val="24"/>
        </w:rPr>
      </w:pPr>
      <w:r>
        <w:rPr>
          <w:rFonts w:ascii="Times New Roman" w:hAnsi="Times New Roman" w:cs="Times New Roman"/>
          <w:sz w:val="24"/>
          <w:szCs w:val="24"/>
        </w:rPr>
        <w:t>The table below contains the reciprocal of the concentration and the in the presence of ALP inhibitor and when not added in the biofilm formation.</w:t>
      </w:r>
    </w:p>
    <w:tbl>
      <w:tblPr>
        <w:tblW w:w="9275" w:type="dxa"/>
        <w:tblLook w:val="04A0"/>
      </w:tblPr>
      <w:tblGrid>
        <w:gridCol w:w="1985"/>
        <w:gridCol w:w="1916"/>
        <w:gridCol w:w="1596"/>
        <w:gridCol w:w="1836"/>
        <w:gridCol w:w="986"/>
        <w:gridCol w:w="956"/>
      </w:tblGrid>
      <w:tr w:rsidTr="000C46E0">
        <w:tblPrEx>
          <w:tblW w:w="9275" w:type="dxa"/>
          <w:tblLook w:val="04A0"/>
        </w:tblPrEx>
        <w:trPr>
          <w:trHeight w:val="300"/>
        </w:trPr>
        <w:tc>
          <w:tcPr>
            <w:tcW w:w="1985"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4"/>
                <w:szCs w:val="24"/>
              </w:rPr>
            </w:pPr>
          </w:p>
        </w:tc>
        <w:tc>
          <w:tcPr>
            <w:tcW w:w="191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r>
      <w:tr w:rsidTr="000C46E0">
        <w:tblPrEx>
          <w:tblW w:w="9275" w:type="dxa"/>
          <w:tblLook w:val="04A0"/>
        </w:tblPrEx>
        <w:trPr>
          <w:trHeight w:val="300"/>
        </w:trPr>
        <w:tc>
          <w:tcPr>
            <w:tcW w:w="1985" w:type="dxa"/>
            <w:tcBorders>
              <w:top w:val="nil"/>
              <w:left w:val="nil"/>
              <w:bottom w:val="nil"/>
              <w:right w:val="nil"/>
            </w:tcBorders>
            <w:shd w:val="clear" w:color="000000" w:fill="E2EFDA"/>
            <w:noWrap/>
            <w:vAlign w:val="bottom"/>
            <w:hideMark/>
          </w:tcPr>
          <w:p w:rsidR="000C46E0" w:rsidRPr="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1/mM</w:t>
            </w:r>
          </w:p>
        </w:tc>
        <w:tc>
          <w:tcPr>
            <w:tcW w:w="1916" w:type="dxa"/>
            <w:tcBorders>
              <w:top w:val="nil"/>
              <w:left w:val="nil"/>
              <w:bottom w:val="nil"/>
              <w:right w:val="nil"/>
            </w:tcBorders>
            <w:shd w:val="clear" w:color="000000" w:fill="E2EFDA"/>
            <w:noWrap/>
            <w:vAlign w:val="bottom"/>
            <w:hideMark/>
          </w:tcPr>
          <w:p w:rsidR="000C46E0" w:rsidRPr="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 xml:space="preserve">No Inhibitor </w:t>
            </w:r>
          </w:p>
        </w:tc>
        <w:tc>
          <w:tcPr>
            <w:tcW w:w="1596" w:type="dxa"/>
            <w:tcBorders>
              <w:top w:val="nil"/>
              <w:left w:val="nil"/>
              <w:bottom w:val="nil"/>
              <w:right w:val="nil"/>
            </w:tcBorders>
            <w:shd w:val="clear" w:color="000000" w:fill="E2EFDA"/>
            <w:noWrap/>
            <w:vAlign w:val="bottom"/>
            <w:hideMark/>
          </w:tcPr>
          <w:p w:rsidR="000C46E0" w:rsidRPr="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 xml:space="preserve">Inhibitor </w:t>
            </w:r>
          </w:p>
        </w:tc>
        <w:tc>
          <w:tcPr>
            <w:tcW w:w="183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Calibri" w:eastAsia="Times New Roman" w:hAnsi="Calibri" w:cs="Calibri"/>
                <w:color w:val="000000"/>
              </w:rPr>
            </w:pPr>
          </w:p>
        </w:tc>
        <w:tc>
          <w:tcPr>
            <w:tcW w:w="98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r>
      <w:tr w:rsidTr="000C46E0">
        <w:tblPrEx>
          <w:tblW w:w="9275" w:type="dxa"/>
          <w:tblLook w:val="04A0"/>
        </w:tblPrEx>
        <w:trPr>
          <w:trHeight w:val="300"/>
        </w:trPr>
        <w:tc>
          <w:tcPr>
            <w:tcW w:w="1985"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2.083333333</w:t>
            </w:r>
          </w:p>
        </w:tc>
        <w:tc>
          <w:tcPr>
            <w:tcW w:w="191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2.949852507</w:t>
            </w:r>
          </w:p>
        </w:tc>
        <w:tc>
          <w:tcPr>
            <w:tcW w:w="159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12.35635735</w:t>
            </w:r>
          </w:p>
        </w:tc>
        <w:tc>
          <w:tcPr>
            <w:tcW w:w="183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p>
        </w:tc>
        <w:tc>
          <w:tcPr>
            <w:tcW w:w="98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r>
      <w:tr w:rsidTr="000C46E0">
        <w:tblPrEx>
          <w:tblW w:w="9275" w:type="dxa"/>
          <w:tblLook w:val="04A0"/>
        </w:tblPrEx>
        <w:trPr>
          <w:trHeight w:val="300"/>
        </w:trPr>
        <w:tc>
          <w:tcPr>
            <w:tcW w:w="1985"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4.166666667</w:t>
            </w:r>
          </w:p>
        </w:tc>
        <w:tc>
          <w:tcPr>
            <w:tcW w:w="191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1.340482574</w:t>
            </w:r>
          </w:p>
        </w:tc>
        <w:tc>
          <w:tcPr>
            <w:tcW w:w="159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6.729475101</w:t>
            </w:r>
          </w:p>
        </w:tc>
        <w:tc>
          <w:tcPr>
            <w:tcW w:w="183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p>
        </w:tc>
        <w:tc>
          <w:tcPr>
            <w:tcW w:w="98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r>
      <w:tr w:rsidTr="000C46E0">
        <w:tblPrEx>
          <w:tblW w:w="9275" w:type="dxa"/>
          <w:tblLook w:val="04A0"/>
        </w:tblPrEx>
        <w:trPr>
          <w:trHeight w:val="300"/>
        </w:trPr>
        <w:tc>
          <w:tcPr>
            <w:tcW w:w="1985"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6.25</w:t>
            </w:r>
          </w:p>
        </w:tc>
        <w:tc>
          <w:tcPr>
            <w:tcW w:w="191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4.045307443</w:t>
            </w:r>
          </w:p>
        </w:tc>
        <w:tc>
          <w:tcPr>
            <w:tcW w:w="159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11.11111111</w:t>
            </w:r>
          </w:p>
        </w:tc>
        <w:tc>
          <w:tcPr>
            <w:tcW w:w="183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p>
        </w:tc>
        <w:tc>
          <w:tcPr>
            <w:tcW w:w="98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r>
      <w:tr w:rsidTr="000C46E0">
        <w:tblPrEx>
          <w:tblW w:w="9275" w:type="dxa"/>
          <w:tblLook w:val="04A0"/>
        </w:tblPrEx>
        <w:trPr>
          <w:trHeight w:val="300"/>
        </w:trPr>
        <w:tc>
          <w:tcPr>
            <w:tcW w:w="1985"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10.41666667</w:t>
            </w:r>
          </w:p>
        </w:tc>
        <w:tc>
          <w:tcPr>
            <w:tcW w:w="191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4.87804878</w:t>
            </w:r>
          </w:p>
        </w:tc>
        <w:tc>
          <w:tcPr>
            <w:tcW w:w="159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13.14060447</w:t>
            </w:r>
          </w:p>
        </w:tc>
        <w:tc>
          <w:tcPr>
            <w:tcW w:w="183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p>
        </w:tc>
        <w:tc>
          <w:tcPr>
            <w:tcW w:w="98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r>
      <w:tr w:rsidTr="000C46E0">
        <w:tblPrEx>
          <w:tblW w:w="9275" w:type="dxa"/>
          <w:tblLook w:val="04A0"/>
        </w:tblPrEx>
        <w:trPr>
          <w:trHeight w:val="300"/>
        </w:trPr>
        <w:tc>
          <w:tcPr>
            <w:tcW w:w="1985" w:type="dxa"/>
            <w:tcBorders>
              <w:top w:val="nil"/>
              <w:left w:val="nil"/>
              <w:bottom w:val="nil"/>
              <w:right w:val="nil"/>
            </w:tcBorders>
            <w:shd w:val="clear" w:color="auto" w:fill="auto"/>
            <w:noWrap/>
            <w:vAlign w:val="bottom"/>
            <w:hideMark/>
          </w:tcPr>
          <w:p w:rsidR="000C46E0" w:rsidRPr="000C46E0" w:rsidP="000C46E0">
            <w:pPr>
              <w:spacing w:after="0" w:line="240" w:lineRule="auto"/>
              <w:jc w:val="center"/>
              <w:rPr>
                <w:rFonts w:ascii="Calibri" w:eastAsia="Times New Roman" w:hAnsi="Calibri" w:cs="Calibri"/>
                <w:color w:val="000000"/>
              </w:rPr>
            </w:pPr>
            <w:r w:rsidRPr="000C46E0">
              <w:rPr>
                <w:rFonts w:ascii="Calibri" w:eastAsia="Times New Roman" w:hAnsi="Calibri" w:cs="Calibri"/>
                <w:color w:val="000000"/>
              </w:rPr>
              <w:t>#DIV/0!</w:t>
            </w:r>
          </w:p>
        </w:tc>
        <w:tc>
          <w:tcPr>
            <w:tcW w:w="1916" w:type="dxa"/>
            <w:tcBorders>
              <w:top w:val="nil"/>
              <w:left w:val="nil"/>
              <w:bottom w:val="nil"/>
              <w:right w:val="nil"/>
            </w:tcBorders>
            <w:shd w:val="clear" w:color="auto" w:fill="auto"/>
            <w:noWrap/>
            <w:vAlign w:val="bottom"/>
            <w:hideMark/>
          </w:tcPr>
          <w:p w:rsidR="000C46E0" w:rsidRPr="000C46E0" w:rsidP="000C46E0">
            <w:pPr>
              <w:spacing w:after="0" w:line="240" w:lineRule="auto"/>
              <w:jc w:val="center"/>
              <w:rPr>
                <w:rFonts w:ascii="Calibri" w:eastAsia="Times New Roman" w:hAnsi="Calibri" w:cs="Calibri"/>
                <w:color w:val="000000"/>
              </w:rPr>
            </w:pPr>
            <w:r w:rsidRPr="000C46E0">
              <w:rPr>
                <w:rFonts w:ascii="Calibri" w:eastAsia="Times New Roman" w:hAnsi="Calibri" w:cs="Calibri"/>
                <w:color w:val="000000"/>
              </w:rPr>
              <w:t>#DIV/0!</w:t>
            </w:r>
          </w:p>
        </w:tc>
        <w:tc>
          <w:tcPr>
            <w:tcW w:w="1596" w:type="dxa"/>
            <w:tcBorders>
              <w:top w:val="nil"/>
              <w:left w:val="nil"/>
              <w:bottom w:val="nil"/>
              <w:right w:val="nil"/>
            </w:tcBorders>
            <w:shd w:val="clear" w:color="auto" w:fill="auto"/>
            <w:noWrap/>
            <w:vAlign w:val="bottom"/>
            <w:hideMark/>
          </w:tcPr>
          <w:p w:rsidR="000C46E0" w:rsidRPr="000C46E0" w:rsidP="000C46E0">
            <w:pPr>
              <w:spacing w:after="0" w:line="240" w:lineRule="auto"/>
              <w:jc w:val="center"/>
              <w:rPr>
                <w:rFonts w:ascii="Calibri" w:eastAsia="Times New Roman" w:hAnsi="Calibri" w:cs="Calibri"/>
                <w:color w:val="000000"/>
              </w:rPr>
            </w:pPr>
            <w:r w:rsidRPr="000C46E0">
              <w:rPr>
                <w:rFonts w:ascii="Calibri" w:eastAsia="Times New Roman" w:hAnsi="Calibri" w:cs="Calibri"/>
                <w:color w:val="000000"/>
              </w:rPr>
              <w:t>#DIV/0!</w:t>
            </w:r>
          </w:p>
        </w:tc>
        <w:tc>
          <w:tcPr>
            <w:tcW w:w="1836" w:type="dxa"/>
            <w:tcBorders>
              <w:top w:val="nil"/>
              <w:left w:val="nil"/>
              <w:bottom w:val="nil"/>
              <w:right w:val="nil"/>
            </w:tcBorders>
            <w:shd w:val="clear" w:color="auto" w:fill="auto"/>
            <w:noWrap/>
            <w:vAlign w:val="bottom"/>
            <w:hideMark/>
          </w:tcPr>
          <w:p w:rsidR="000C46E0" w:rsidRPr="000C46E0" w:rsidP="000C46E0">
            <w:pPr>
              <w:spacing w:after="0" w:line="240" w:lineRule="auto"/>
              <w:jc w:val="center"/>
              <w:rPr>
                <w:rFonts w:ascii="Calibri" w:eastAsia="Times New Roman" w:hAnsi="Calibri" w:cs="Calibri"/>
                <w:color w:val="000000"/>
              </w:rPr>
            </w:pPr>
          </w:p>
        </w:tc>
        <w:tc>
          <w:tcPr>
            <w:tcW w:w="98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r>
      <w:tr w:rsidTr="000C46E0">
        <w:tblPrEx>
          <w:tblW w:w="9275" w:type="dxa"/>
          <w:tblLook w:val="04A0"/>
        </w:tblPrEx>
        <w:trPr>
          <w:trHeight w:val="300"/>
        </w:trPr>
        <w:tc>
          <w:tcPr>
            <w:tcW w:w="1985"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20.83333333</w:t>
            </w:r>
          </w:p>
        </w:tc>
        <w:tc>
          <w:tcPr>
            <w:tcW w:w="191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7.56429652</w:t>
            </w:r>
          </w:p>
        </w:tc>
        <w:tc>
          <w:tcPr>
            <w:tcW w:w="159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14.99250375</w:t>
            </w:r>
          </w:p>
        </w:tc>
        <w:tc>
          <w:tcPr>
            <w:tcW w:w="183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p>
        </w:tc>
        <w:tc>
          <w:tcPr>
            <w:tcW w:w="98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r>
      <w:tr w:rsidTr="000C46E0">
        <w:tblPrEx>
          <w:tblW w:w="9275" w:type="dxa"/>
          <w:tblLook w:val="04A0"/>
        </w:tblPrEx>
        <w:trPr>
          <w:trHeight w:val="300"/>
        </w:trPr>
        <w:tc>
          <w:tcPr>
            <w:tcW w:w="1985"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91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r>
      <w:tr w:rsidTr="000C46E0">
        <w:tblPrEx>
          <w:tblW w:w="9275" w:type="dxa"/>
          <w:tblLook w:val="04A0"/>
        </w:tblPrEx>
        <w:trPr>
          <w:trHeight w:val="300"/>
        </w:trPr>
        <w:tc>
          <w:tcPr>
            <w:tcW w:w="1985" w:type="dxa"/>
            <w:tcBorders>
              <w:top w:val="nil"/>
              <w:left w:val="nil"/>
              <w:bottom w:val="nil"/>
              <w:right w:val="nil"/>
            </w:tcBorders>
            <w:shd w:val="clear" w:color="auto" w:fill="auto"/>
            <w:noWrap/>
            <w:vAlign w:val="bottom"/>
            <w:hideMark/>
          </w:tcPr>
          <w:p w:rsidR="000C46E0" w:rsidP="000C46E0">
            <w:pPr>
              <w:spacing w:after="0" w:line="240" w:lineRule="auto"/>
              <w:rPr>
                <w:rFonts w:ascii="Times New Roman" w:eastAsia="Times New Roman" w:hAnsi="Times New Roman" w:cs="Times New Roman"/>
                <w:sz w:val="20"/>
                <w:szCs w:val="20"/>
              </w:rPr>
            </w:pPr>
          </w:p>
          <w:p w:rsidR="000C46E0" w:rsidRPr="000C46E0" w:rsidP="000C46E0">
            <w:pPr>
              <w:spacing w:after="0" w:line="240" w:lineRule="auto"/>
              <w:rPr>
                <w:rFonts w:ascii="Times New Roman" w:eastAsia="Times New Roman" w:hAnsi="Times New Roman" w:cs="Times New Roman"/>
                <w:sz w:val="20"/>
                <w:szCs w:val="20"/>
              </w:rPr>
            </w:pPr>
          </w:p>
        </w:tc>
        <w:tc>
          <w:tcPr>
            <w:tcW w:w="191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r>
      <w:tr w:rsidTr="000C46E0">
        <w:tblPrEx>
          <w:tblW w:w="9275" w:type="dxa"/>
          <w:tblLook w:val="04A0"/>
        </w:tblPrEx>
        <w:trPr>
          <w:trHeight w:val="300"/>
        </w:trPr>
        <w:tc>
          <w:tcPr>
            <w:tcW w:w="1985"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91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r>
      <w:tr w:rsidTr="000C46E0">
        <w:tblPrEx>
          <w:tblW w:w="9275" w:type="dxa"/>
          <w:tblLook w:val="04A0"/>
        </w:tblPrEx>
        <w:trPr>
          <w:trHeight w:val="300"/>
        </w:trPr>
        <w:tc>
          <w:tcPr>
            <w:tcW w:w="1985" w:type="dxa"/>
            <w:tcBorders>
              <w:top w:val="nil"/>
              <w:left w:val="nil"/>
              <w:bottom w:val="nil"/>
              <w:right w:val="nil"/>
            </w:tcBorders>
            <w:shd w:val="clear" w:color="000000" w:fill="FFF2CC"/>
            <w:noWrap/>
            <w:vAlign w:val="bottom"/>
            <w:hideMark/>
          </w:tcPr>
          <w:p w:rsidR="000C46E0" w:rsidRPr="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1/Km (set y=0)</w:t>
            </w:r>
          </w:p>
        </w:tc>
        <w:tc>
          <w:tcPr>
            <w:tcW w:w="1916" w:type="dxa"/>
            <w:tcBorders>
              <w:top w:val="nil"/>
              <w:left w:val="nil"/>
              <w:bottom w:val="nil"/>
              <w:right w:val="nil"/>
            </w:tcBorders>
            <w:shd w:val="clear" w:color="000000" w:fill="FFF2CC"/>
            <w:noWrap/>
            <w:vAlign w:val="bottom"/>
            <w:hideMark/>
          </w:tcPr>
          <w:p w:rsidR="000C46E0" w:rsidRPr="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1/Vmax (set x=0)</w:t>
            </w:r>
          </w:p>
        </w:tc>
        <w:tc>
          <w:tcPr>
            <w:tcW w:w="1596" w:type="dxa"/>
            <w:tcBorders>
              <w:top w:val="nil"/>
              <w:left w:val="nil"/>
              <w:bottom w:val="nil"/>
              <w:right w:val="nil"/>
            </w:tcBorders>
            <w:shd w:val="clear" w:color="000000" w:fill="FFF2CC"/>
            <w:noWrap/>
            <w:vAlign w:val="bottom"/>
            <w:hideMark/>
          </w:tcPr>
          <w:p w:rsidR="000C46E0" w:rsidRPr="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Km (1/ (-1/Km)</w:t>
            </w:r>
          </w:p>
        </w:tc>
        <w:tc>
          <w:tcPr>
            <w:tcW w:w="1836" w:type="dxa"/>
            <w:tcBorders>
              <w:top w:val="nil"/>
              <w:left w:val="nil"/>
              <w:bottom w:val="nil"/>
              <w:right w:val="nil"/>
            </w:tcBorders>
            <w:shd w:val="clear" w:color="000000" w:fill="FFF2CC"/>
            <w:noWrap/>
            <w:vAlign w:val="bottom"/>
            <w:hideMark/>
          </w:tcPr>
          <w:p w:rsidR="000C46E0" w:rsidRPr="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Vmax (1/ (1/Vmax))</w:t>
            </w:r>
          </w:p>
        </w:tc>
        <w:tc>
          <w:tcPr>
            <w:tcW w:w="98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Calibri" w:eastAsia="Times New Roman" w:hAnsi="Calibri" w:cs="Calibri"/>
                <w:color w:val="000000"/>
              </w:rPr>
            </w:pPr>
          </w:p>
        </w:tc>
        <w:tc>
          <w:tcPr>
            <w:tcW w:w="95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r>
      <w:tr w:rsidTr="000C46E0">
        <w:tblPrEx>
          <w:tblW w:w="9275" w:type="dxa"/>
          <w:tblLook w:val="04A0"/>
        </w:tblPrEx>
        <w:trPr>
          <w:trHeight w:val="300"/>
        </w:trPr>
        <w:tc>
          <w:tcPr>
            <w:tcW w:w="1985"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-3.191946715</w:t>
            </w:r>
          </w:p>
        </w:tc>
        <w:tc>
          <w:tcPr>
            <w:tcW w:w="191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1.0543</w:t>
            </w:r>
          </w:p>
        </w:tc>
        <w:tc>
          <w:tcPr>
            <w:tcW w:w="159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bookmarkStart w:id="0" w:name="_GoBack"/>
            <w:bookmarkEnd w:id="0"/>
            <w:r w:rsidRPr="000C46E0">
              <w:rPr>
                <w:rFonts w:ascii="Calibri" w:eastAsia="Times New Roman" w:hAnsi="Calibri" w:cs="Calibri"/>
                <w:color w:val="000000"/>
              </w:rPr>
              <w:t>0.313288438</w:t>
            </w:r>
          </w:p>
        </w:tc>
        <w:tc>
          <w:tcPr>
            <w:tcW w:w="183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0.948496633</w:t>
            </w:r>
          </w:p>
        </w:tc>
        <w:tc>
          <w:tcPr>
            <w:tcW w:w="1942" w:type="dxa"/>
            <w:gridSpan w:val="2"/>
            <w:tcBorders>
              <w:top w:val="nil"/>
              <w:left w:val="nil"/>
              <w:bottom w:val="nil"/>
              <w:right w:val="nil"/>
            </w:tcBorders>
            <w:shd w:val="clear" w:color="auto" w:fill="auto"/>
            <w:noWrap/>
            <w:vAlign w:val="bottom"/>
            <w:hideMark/>
          </w:tcPr>
          <w:p w:rsidR="000C46E0" w:rsidRPr="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No inhibitor</w:t>
            </w:r>
          </w:p>
        </w:tc>
      </w:tr>
      <w:tr w:rsidTr="000C46E0">
        <w:tblPrEx>
          <w:tblW w:w="9275" w:type="dxa"/>
          <w:tblLook w:val="04A0"/>
        </w:tblPrEx>
        <w:trPr>
          <w:trHeight w:val="300"/>
        </w:trPr>
        <w:tc>
          <w:tcPr>
            <w:tcW w:w="1985" w:type="dxa"/>
            <w:tcBorders>
              <w:top w:val="nil"/>
              <w:left w:val="nil"/>
              <w:bottom w:val="nil"/>
              <w:right w:val="nil"/>
            </w:tcBorders>
            <w:shd w:val="clear" w:color="auto" w:fill="auto"/>
            <w:noWrap/>
            <w:vAlign w:val="bottom"/>
            <w:hideMark/>
          </w:tcPr>
          <w:p w:rsidR="000C46E0" w:rsidRPr="000C46E0" w:rsidP="00717D61">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00816F7D">
              <w:rPr>
                <w:rFonts w:ascii="Calibri" w:eastAsia="Times New Roman" w:hAnsi="Calibri" w:cs="Calibri"/>
                <w:color w:val="000000"/>
              </w:rPr>
              <w:t xml:space="preserve"> </w:t>
            </w:r>
            <w:r w:rsidRPr="000C46E0">
              <w:rPr>
                <w:rFonts w:ascii="Calibri" w:eastAsia="Times New Roman" w:hAnsi="Calibri" w:cs="Calibri"/>
                <w:color w:val="000000"/>
              </w:rPr>
              <w:t>-11.49371981</w:t>
            </w:r>
          </w:p>
        </w:tc>
        <w:tc>
          <w:tcPr>
            <w:tcW w:w="191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5.948</w:t>
            </w:r>
          </w:p>
        </w:tc>
        <w:tc>
          <w:tcPr>
            <w:tcW w:w="159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0.087004035</w:t>
            </w:r>
          </w:p>
        </w:tc>
        <w:tc>
          <w:tcPr>
            <w:tcW w:w="1836" w:type="dxa"/>
            <w:tcBorders>
              <w:top w:val="nil"/>
              <w:left w:val="nil"/>
              <w:bottom w:val="nil"/>
              <w:right w:val="nil"/>
            </w:tcBorders>
            <w:shd w:val="clear" w:color="auto" w:fill="auto"/>
            <w:noWrap/>
            <w:vAlign w:val="bottom"/>
            <w:hideMark/>
          </w:tcPr>
          <w:p w:rsidR="000C46E0" w:rsidRPr="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0.168123739</w:t>
            </w:r>
          </w:p>
        </w:tc>
        <w:tc>
          <w:tcPr>
            <w:tcW w:w="98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Inhibitor</w:t>
            </w:r>
          </w:p>
        </w:tc>
        <w:tc>
          <w:tcPr>
            <w:tcW w:w="95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Calibri" w:eastAsia="Times New Roman" w:hAnsi="Calibri" w:cs="Calibri"/>
                <w:color w:val="000000"/>
              </w:rPr>
            </w:pPr>
          </w:p>
        </w:tc>
      </w:tr>
      <w:tr w:rsidTr="000C46E0">
        <w:tblPrEx>
          <w:tblW w:w="9275" w:type="dxa"/>
          <w:tblLook w:val="04A0"/>
        </w:tblPrEx>
        <w:trPr>
          <w:trHeight w:val="300"/>
        </w:trPr>
        <w:tc>
          <w:tcPr>
            <w:tcW w:w="1985" w:type="dxa"/>
            <w:tcBorders>
              <w:top w:val="nil"/>
              <w:left w:val="nil"/>
              <w:bottom w:val="nil"/>
              <w:right w:val="nil"/>
            </w:tcBorders>
            <w:shd w:val="clear" w:color="auto" w:fill="auto"/>
            <w:noWrap/>
            <w:vAlign w:val="bottom"/>
            <w:hideMark/>
          </w:tcPr>
          <w:p w:rsidR="00D34084" w:rsidRPr="00D34084" w:rsidP="00D34084"/>
        </w:tc>
        <w:tc>
          <w:tcPr>
            <w:tcW w:w="191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r>
      <w:tr w:rsidTr="000C46E0">
        <w:tblPrEx>
          <w:tblW w:w="9275" w:type="dxa"/>
          <w:tblLook w:val="04A0"/>
        </w:tblPrEx>
        <w:trPr>
          <w:trHeight w:val="300"/>
        </w:trPr>
        <w:tc>
          <w:tcPr>
            <w:tcW w:w="1985"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91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r>
      <w:tr w:rsidTr="000C46E0">
        <w:tblPrEx>
          <w:tblW w:w="9275" w:type="dxa"/>
          <w:tblLook w:val="04A0"/>
        </w:tblPrEx>
        <w:trPr>
          <w:trHeight w:val="300"/>
        </w:trPr>
        <w:tc>
          <w:tcPr>
            <w:tcW w:w="1985"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91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P="000C46E0">
            <w:pPr>
              <w:spacing w:after="0" w:line="240" w:lineRule="auto"/>
              <w:rPr>
                <w:rFonts w:ascii="Times New Roman" w:eastAsia="Times New Roman" w:hAnsi="Times New Roman" w:cs="Times New Roman"/>
                <w:sz w:val="20"/>
                <w:szCs w:val="20"/>
              </w:rPr>
            </w:pPr>
          </w:p>
        </w:tc>
      </w:tr>
    </w:tbl>
    <w:p w:rsidR="00CF6912" w:rsidP="00816F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above </w:t>
      </w:r>
      <w:r w:rsidR="00D22738">
        <w:rPr>
          <w:rFonts w:ascii="Times New Roman" w:hAnsi="Times New Roman" w:cs="Times New Roman"/>
          <w:sz w:val="24"/>
          <w:szCs w:val="24"/>
        </w:rPr>
        <w:t xml:space="preserve">values were obtained by calculating the inverses of </w:t>
      </w:r>
      <w:r>
        <w:rPr>
          <w:rFonts w:ascii="Times New Roman" w:hAnsi="Times New Roman" w:cs="Times New Roman"/>
          <w:sz w:val="24"/>
          <w:szCs w:val="24"/>
        </w:rPr>
        <w:t xml:space="preserve">substance concentration, maximum velocity, and the inverse of their results. In the first column of the inverse of substance concentration, the value when no inhibitor is added is less negative than when there is an inhibitor while on the column of the maximum velocity the amount is smaller when there is no inhibitor and more prominent in the presence of the </w:t>
      </w:r>
      <w:r w:rsidR="00D1501F">
        <w:rPr>
          <w:rFonts w:ascii="Times New Roman" w:hAnsi="Times New Roman" w:cs="Times New Roman"/>
          <w:sz w:val="24"/>
          <w:szCs w:val="24"/>
        </w:rPr>
        <w:t>inhibitor.</w:t>
      </w:r>
    </w:p>
    <w:p w:rsidR="00D1501F" w:rsidP="008C4FA2">
      <w:pPr>
        <w:spacing w:line="480" w:lineRule="auto"/>
        <w:rPr>
          <w:rFonts w:ascii="Times New Roman" w:hAnsi="Times New Roman" w:cs="Times New Roman"/>
          <w:sz w:val="24"/>
          <w:szCs w:val="24"/>
        </w:rPr>
      </w:pPr>
      <w:r>
        <w:rPr>
          <w:rFonts w:ascii="Times New Roman" w:hAnsi="Times New Roman" w:cs="Times New Roman"/>
          <w:sz w:val="24"/>
          <w:szCs w:val="24"/>
        </w:rPr>
        <w:t>Below is a graph of reciprocal of maximum velocity against the inverse of substrate concentration.</w:t>
      </w:r>
    </w:p>
    <w:p w:rsidR="00D1501F" w:rsidP="008C4FA2">
      <w:pPr>
        <w:spacing w:line="480" w:lineRule="auto"/>
        <w:rPr>
          <w:rFonts w:ascii="Times New Roman" w:hAnsi="Times New Roman" w:cs="Times New Roman"/>
          <w:sz w:val="24"/>
          <w:szCs w:val="24"/>
        </w:rPr>
      </w:pPr>
      <w:r w:rsidRPr="00D1501F">
        <w:rPr>
          <w:rFonts w:ascii="Times New Roman" w:hAnsi="Times New Roman" w:cs="Times New Roman"/>
          <w:sz w:val="24"/>
          <w:szCs w:val="24"/>
        </w:rPr>
        <w:drawing>
          <wp:inline distT="0" distB="0" distL="0" distR="0">
            <wp:extent cx="4432176" cy="2865368"/>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3787" name=""/>
                    <pic:cNvPicPr/>
                  </pic:nvPicPr>
                  <pic:blipFill>
                    <a:blip xmlns:r="http://schemas.openxmlformats.org/officeDocument/2006/relationships" r:embed="rId5"/>
                    <a:stretch>
                      <a:fillRect/>
                    </a:stretch>
                  </pic:blipFill>
                  <pic:spPr>
                    <a:xfrm>
                      <a:off x="0" y="0"/>
                      <a:ext cx="4432176" cy="2865368"/>
                    </a:xfrm>
                    <a:prstGeom prst="rect">
                      <a:avLst/>
                    </a:prstGeom>
                  </pic:spPr>
                </pic:pic>
              </a:graphicData>
            </a:graphic>
          </wp:inline>
        </w:drawing>
      </w:r>
    </w:p>
    <w:p w:rsidR="008D3B00" w:rsidRPr="008D3B00" w:rsidP="00D1501F">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the above, the graph of 1/v against 1/C when there is an inhibitor starts when 1/v= 6 and it's a straight line with an increasing trend while in the absence of inhibitor the graph starts when 1/V= 1 and has a rising pattern. Conclusively, </w:t>
      </w:r>
      <w:r w:rsidR="00DD4E3C">
        <w:rPr>
          <w:rFonts w:ascii="Times New Roman" w:hAnsi="Times New Roman" w:cs="Times New Roman"/>
          <w:sz w:val="24"/>
          <w:szCs w:val="24"/>
        </w:rPr>
        <w:t>the formation of biofilm was not affected.</w:t>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15761985"/>
      <w:docPartObj>
        <w:docPartGallery w:val="Page Numbers (Top of Page)"/>
        <w:docPartUnique/>
      </w:docPartObj>
    </w:sdtPr>
    <w:sdtEndPr>
      <w:rPr>
        <w:noProof/>
      </w:rPr>
    </w:sdtEndPr>
    <w:sdtContent>
      <w:p w:rsidR="00A57F5F" w:rsidP="00A57F5F">
        <w:pPr>
          <w:pStyle w:val="Header"/>
        </w:pPr>
        <w:r>
          <w:t xml:space="preserve">The living cell Lab                                                                                                                                                        </w:t>
        </w:r>
        <w:r>
          <w:fldChar w:fldCharType="begin"/>
        </w:r>
        <w:r>
          <w:instrText xml:space="preserve"> PAGE   \* MERGEFORMAT </w:instrText>
        </w:r>
        <w:r>
          <w:fldChar w:fldCharType="separate"/>
        </w:r>
        <w:r>
          <w:rPr>
            <w:noProof/>
          </w:rPr>
          <w:t>4</w:t>
        </w:r>
        <w:r>
          <w:rPr>
            <w:noProof/>
          </w:rPr>
          <w:fldChar w:fldCharType="end"/>
        </w:r>
      </w:p>
    </w:sdtContent>
  </w:sdt>
  <w:p w:rsidR="00DD4E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B00"/>
    <w:rsid w:val="000C46E0"/>
    <w:rsid w:val="002541F9"/>
    <w:rsid w:val="002A2512"/>
    <w:rsid w:val="004A2D5A"/>
    <w:rsid w:val="004F0474"/>
    <w:rsid w:val="005250D7"/>
    <w:rsid w:val="005C64E9"/>
    <w:rsid w:val="006D3A73"/>
    <w:rsid w:val="00706334"/>
    <w:rsid w:val="00717D61"/>
    <w:rsid w:val="00816F7D"/>
    <w:rsid w:val="00822FDC"/>
    <w:rsid w:val="00844DE3"/>
    <w:rsid w:val="008C4FA2"/>
    <w:rsid w:val="008D3B00"/>
    <w:rsid w:val="009F6016"/>
    <w:rsid w:val="00A57F5F"/>
    <w:rsid w:val="00CF6912"/>
    <w:rsid w:val="00D1501F"/>
    <w:rsid w:val="00D22738"/>
    <w:rsid w:val="00D34084"/>
    <w:rsid w:val="00DD4E3C"/>
    <w:rsid w:val="00E4220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C701667-D167-468A-B8FC-FC606407F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4084"/>
    <w:pPr>
      <w:spacing w:after="0" w:line="240" w:lineRule="auto"/>
    </w:pPr>
  </w:style>
  <w:style w:type="paragraph" w:styleId="Header">
    <w:name w:val="header"/>
    <w:basedOn w:val="Normal"/>
    <w:link w:val="HeaderChar"/>
    <w:uiPriority w:val="99"/>
    <w:unhideWhenUsed/>
    <w:rsid w:val="00DD4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E3C"/>
  </w:style>
  <w:style w:type="paragraph" w:styleId="Footer">
    <w:name w:val="footer"/>
    <w:basedOn w:val="Normal"/>
    <w:link w:val="FooterChar"/>
    <w:uiPriority w:val="99"/>
    <w:unhideWhenUsed/>
    <w:rsid w:val="00DD4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4</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2019-09-21T06:47:00Z</dcterms:created>
  <dcterms:modified xsi:type="dcterms:W3CDTF">2019-09-21T10:49:00Z</dcterms:modified>
</cp:coreProperties>
</file>